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AC508C" w:rsidRDefault="00AC508C" w:rsidP="00AC508C">
      <w:pPr>
        <w:pStyle w:val="NormalWeb"/>
        <w:spacing w:before="0" w:beforeAutospacing="0" w:after="160" w:afterAutospacing="0"/>
        <w:jc w:val="both"/>
      </w:pPr>
      <w:commentRangeStart w:id="0"/>
      <w:r>
        <w:rPr>
          <w:rFonts w:ascii="Arial" w:hAnsi="Arial" w:cs="Arial"/>
          <w:b/>
          <w:bCs/>
          <w:color w:val="00488C"/>
          <w:sz w:val="28"/>
          <w:szCs w:val="28"/>
          <w:u w:val="single"/>
        </w:rPr>
        <w:t xml:space="preserve">Annex </w:t>
      </w:r>
      <w:r w:rsidR="00824FC5">
        <w:rPr>
          <w:rFonts w:ascii="Arial" w:hAnsi="Arial" w:cs="Arial"/>
          <w:b/>
          <w:bCs/>
          <w:color w:val="00488C"/>
          <w:sz w:val="28"/>
          <w:szCs w:val="28"/>
          <w:u w:val="single"/>
        </w:rPr>
        <w:t>B</w:t>
      </w:r>
      <w:r>
        <w:rPr>
          <w:rFonts w:ascii="Arial" w:hAnsi="Arial" w:cs="Arial"/>
          <w:b/>
          <w:bCs/>
          <w:color w:val="00488C"/>
          <w:sz w:val="28"/>
          <w:szCs w:val="28"/>
          <w:u w:val="single"/>
        </w:rPr>
        <w:t xml:space="preserve">: Security </w:t>
      </w:r>
      <w:commentRangeEnd w:id="0"/>
      <w:r w:rsidR="004C1AF5">
        <w:rPr>
          <w:rStyle w:val="CommentReference"/>
          <w:rFonts w:ascii="Calibri" w:eastAsia="Calibri" w:hAnsi="Calibri" w:cs="Calibri"/>
        </w:rPr>
        <w:commentReference w:id="0"/>
      </w:r>
    </w:p>
    <w:p w:rsidR="004C1AF5" w:rsidRDefault="00AC508C" w:rsidP="00AC508C">
      <w:pPr>
        <w:pStyle w:val="NormalWeb"/>
        <w:spacing w:before="240" w:beforeAutospacing="0" w:after="0" w:afterAutospacing="0" w:line="276" w:lineRule="auto"/>
        <w:jc w:val="both"/>
        <w:rPr>
          <w:rFonts w:ascii="Arial" w:hAnsi="Arial" w:cs="Arial"/>
          <w:b/>
          <w:bCs/>
          <w:color w:val="000000"/>
        </w:rPr>
      </w:pPr>
      <w:r>
        <w:rPr>
          <w:rFonts w:ascii="Arial" w:hAnsi="Arial" w:cs="Arial"/>
          <w:b/>
          <w:bCs/>
          <w:color w:val="000000"/>
        </w:rPr>
        <w:t>External Certifications</w:t>
      </w:r>
      <w:r w:rsidR="002921E2">
        <w:rPr>
          <w:rFonts w:ascii="Arial" w:hAnsi="Arial" w:cs="Arial"/>
          <w:b/>
          <w:bCs/>
          <w:color w:val="000000"/>
        </w:rPr>
        <w:t>:</w:t>
      </w:r>
      <w:r>
        <w:rPr>
          <w:rFonts w:ascii="Arial" w:hAnsi="Arial" w:cs="Arial"/>
          <w:b/>
          <w:bCs/>
          <w:color w:val="000000"/>
        </w:rPr>
        <w:t xml:space="preserve"> </w:t>
      </w:r>
    </w:p>
    <w:p w:rsidR="00AC508C" w:rsidRDefault="00AC508C" w:rsidP="00AC508C">
      <w:pPr>
        <w:pStyle w:val="NormalWeb"/>
        <w:spacing w:before="240" w:beforeAutospacing="0" w:after="0" w:afterAutospacing="0" w:line="276" w:lineRule="auto"/>
        <w:jc w:val="both"/>
      </w:pPr>
      <w:r>
        <w:rPr>
          <w:rFonts w:ascii="Arial" w:hAnsi="Arial" w:cs="Arial"/>
          <w:color w:val="000000"/>
        </w:rPr>
        <w:t>Buyers should ensure that Suppliers hold at least Cyber Essentials Plus certification and ISO 27001:2013 certification if proportionate to the service being procured.</w:t>
      </w:r>
    </w:p>
    <w:p w:rsidR="004C1AF5" w:rsidRDefault="00AC508C" w:rsidP="00AC508C">
      <w:pPr>
        <w:pStyle w:val="NormalWeb"/>
        <w:spacing w:before="240" w:beforeAutospacing="0" w:after="0" w:afterAutospacing="0" w:line="276" w:lineRule="auto"/>
        <w:jc w:val="both"/>
        <w:rPr>
          <w:rFonts w:ascii="Arial" w:hAnsi="Arial" w:cs="Arial"/>
          <w:b/>
          <w:bCs/>
          <w:color w:val="000000"/>
        </w:rPr>
      </w:pPr>
      <w:r>
        <w:rPr>
          <w:rFonts w:ascii="Arial" w:hAnsi="Arial" w:cs="Arial"/>
          <w:b/>
          <w:bCs/>
          <w:color w:val="000000"/>
        </w:rPr>
        <w:t>Risk Assessment</w:t>
      </w:r>
      <w:r w:rsidR="002921E2">
        <w:rPr>
          <w:rFonts w:ascii="Arial" w:hAnsi="Arial" w:cs="Arial"/>
          <w:b/>
          <w:bCs/>
          <w:color w:val="000000"/>
        </w:rPr>
        <w:t>:</w:t>
      </w:r>
      <w:r>
        <w:rPr>
          <w:rFonts w:ascii="Arial" w:hAnsi="Arial" w:cs="Arial"/>
          <w:b/>
          <w:bCs/>
          <w:color w:val="000000"/>
        </w:rPr>
        <w:t xml:space="preserve"> </w:t>
      </w:r>
    </w:p>
    <w:p w:rsidR="00AC508C" w:rsidRDefault="00AC508C" w:rsidP="00AC508C">
      <w:pPr>
        <w:pStyle w:val="NormalWeb"/>
        <w:spacing w:before="240" w:beforeAutospacing="0" w:after="0" w:afterAutospacing="0" w:line="276" w:lineRule="auto"/>
        <w:jc w:val="both"/>
      </w:pPr>
      <w:r>
        <w:rPr>
          <w:rFonts w:ascii="Arial" w:hAnsi="Arial" w:cs="Arial"/>
          <w:color w:val="000000"/>
        </w:rPr>
        <w:t>Supplier should perform a technical information risk assessment on the service supplied and be able to demonstrate what controls are in place to address those risks.</w:t>
      </w:r>
    </w:p>
    <w:p w:rsidR="004C1AF5" w:rsidRDefault="00AC508C" w:rsidP="00AC508C">
      <w:pPr>
        <w:pStyle w:val="NormalWeb"/>
        <w:spacing w:before="240" w:beforeAutospacing="0" w:after="0" w:afterAutospacing="0" w:line="276" w:lineRule="auto"/>
        <w:jc w:val="both"/>
        <w:rPr>
          <w:rFonts w:ascii="Arial" w:hAnsi="Arial" w:cs="Arial"/>
          <w:b/>
          <w:bCs/>
          <w:color w:val="000000"/>
        </w:rPr>
      </w:pPr>
      <w:r>
        <w:rPr>
          <w:rFonts w:ascii="Arial" w:hAnsi="Arial" w:cs="Arial"/>
          <w:b/>
          <w:bCs/>
          <w:color w:val="000000"/>
        </w:rPr>
        <w:t>Security Classification of Information</w:t>
      </w:r>
      <w:r w:rsidR="002921E2">
        <w:rPr>
          <w:rFonts w:ascii="Arial" w:hAnsi="Arial" w:cs="Arial"/>
          <w:b/>
          <w:bCs/>
          <w:color w:val="000000"/>
        </w:rPr>
        <w:t>:</w:t>
      </w:r>
      <w:r>
        <w:rPr>
          <w:rFonts w:ascii="Arial" w:hAnsi="Arial" w:cs="Arial"/>
          <w:b/>
          <w:bCs/>
          <w:color w:val="000000"/>
        </w:rPr>
        <w:t xml:space="preserve"> </w:t>
      </w:r>
    </w:p>
    <w:p w:rsidR="00AC508C" w:rsidRDefault="00AC508C" w:rsidP="00AC508C">
      <w:pPr>
        <w:pStyle w:val="NormalWeb"/>
        <w:spacing w:before="240" w:beforeAutospacing="0" w:after="0" w:afterAutospacing="0" w:line="276" w:lineRule="auto"/>
        <w:jc w:val="both"/>
      </w:pPr>
      <w:r>
        <w:rPr>
          <w:rFonts w:ascii="Arial" w:hAnsi="Arial" w:cs="Arial"/>
          <w:color w:val="000000"/>
        </w:rPr>
        <w:t xml:space="preserve">If the provision of the Services requires the Supplier to Process Authority/Buyer Data which is classified as </w:t>
      </w:r>
      <w:proofErr w:type="gramStart"/>
      <w:r>
        <w:rPr>
          <w:rFonts w:ascii="Arial" w:hAnsi="Arial" w:cs="Arial"/>
          <w:color w:val="000000"/>
        </w:rPr>
        <w:t>OFFICIAL,OFFICIAL</w:t>
      </w:r>
      <w:proofErr w:type="gramEnd"/>
      <w:r>
        <w:rPr>
          <w:rFonts w:ascii="Arial" w:hAnsi="Arial" w:cs="Arial"/>
          <w:color w:val="000000"/>
        </w:rPr>
        <w:t xml:space="preserve">-SENSITIVE or Personal Data, the Supplier shall implement such additional measures as agreed with the Authority/Buyer from time to time in order to ensure that such information is safeguarded in accordance with the applicable legislative and regulatory obligations. </w:t>
      </w:r>
      <w:r>
        <w:rPr>
          <w:rStyle w:val="apple-tab-span"/>
          <w:rFonts w:ascii="Arial" w:hAnsi="Arial" w:cs="Arial"/>
          <w:color w:val="000000"/>
        </w:rPr>
        <w:tab/>
      </w:r>
    </w:p>
    <w:p w:rsidR="00AC508C" w:rsidRDefault="00AC508C" w:rsidP="00AC508C">
      <w:pPr>
        <w:pStyle w:val="NormalWeb"/>
        <w:spacing w:before="240" w:beforeAutospacing="0" w:after="0" w:afterAutospacing="0" w:line="276" w:lineRule="auto"/>
        <w:jc w:val="both"/>
      </w:pPr>
      <w:r>
        <w:rPr>
          <w:rFonts w:ascii="Arial" w:hAnsi="Arial" w:cs="Arial"/>
          <w:b/>
          <w:bCs/>
          <w:color w:val="000000"/>
        </w:rPr>
        <w:t>End User Devices</w:t>
      </w:r>
      <w:r w:rsidR="004C1AF5">
        <w:rPr>
          <w:rFonts w:ascii="Arial" w:hAnsi="Arial" w:cs="Arial"/>
          <w:b/>
          <w:bCs/>
          <w:color w:val="000000"/>
        </w:rPr>
        <w:t>:</w:t>
      </w:r>
    </w:p>
    <w:p w:rsidR="00AC508C" w:rsidRDefault="00AC508C" w:rsidP="00AC508C">
      <w:pPr>
        <w:pStyle w:val="NormalWeb"/>
        <w:numPr>
          <w:ilvl w:val="0"/>
          <w:numId w:val="18"/>
        </w:numPr>
        <w:spacing w:before="240" w:beforeAutospacing="0" w:after="0" w:afterAutospacing="0" w:line="276" w:lineRule="auto"/>
        <w:jc w:val="both"/>
        <w:textAlignment w:val="baseline"/>
        <w:rPr>
          <w:rFonts w:ascii="Arial" w:hAnsi="Arial" w:cs="Arial"/>
          <w:color w:val="000000"/>
        </w:rPr>
      </w:pPr>
      <w:r>
        <w:rPr>
          <w:rFonts w:ascii="Arial" w:hAnsi="Arial" w:cs="Arial"/>
          <w:color w:val="000000"/>
        </w:rPr>
        <w:t>The Supplier shall ensure that any Authority/Buyer Data which resides on a mobile, removable or physically uncontrolled device is stored encrypted using a product or system component which has been formally assured through a recognised certification process agreed with the Authority/Buyer except where the Authority/Buyer has given its prior written consent to an alternative arrangement.</w:t>
      </w:r>
    </w:p>
    <w:p w:rsidR="00AC508C" w:rsidRDefault="00AC508C" w:rsidP="00AC508C">
      <w:pPr>
        <w:pStyle w:val="NormalWeb"/>
        <w:numPr>
          <w:ilvl w:val="0"/>
          <w:numId w:val="18"/>
        </w:numPr>
        <w:spacing w:before="0" w:beforeAutospacing="0" w:after="0" w:afterAutospacing="0" w:line="276" w:lineRule="auto"/>
        <w:jc w:val="both"/>
        <w:textAlignment w:val="baseline"/>
        <w:rPr>
          <w:rFonts w:ascii="Arial" w:hAnsi="Arial" w:cs="Arial"/>
          <w:color w:val="000000"/>
        </w:rPr>
      </w:pPr>
      <w:r>
        <w:rPr>
          <w:rFonts w:ascii="Arial" w:hAnsi="Arial" w:cs="Arial"/>
          <w:color w:val="000000"/>
        </w:rPr>
        <w:t>The Supplier shall ensure that any device which is used to Process Authority/Buyer Data meets all of the security requirements set out in the NCSC End User Devices Platform Security Guidance, a copy of which can be found at:  </w:t>
      </w:r>
      <w:hyperlink r:id="rId8" w:history="1">
        <w:r>
          <w:rPr>
            <w:rStyle w:val="Hyperlink"/>
            <w:rFonts w:ascii="Arial" w:hAnsi="Arial" w:cs="Arial"/>
            <w:color w:val="1155CC"/>
          </w:rPr>
          <w:t>https://www.ncsc.gov.uk/guidance/end-user-device-security</w:t>
        </w:r>
      </w:hyperlink>
      <w:r>
        <w:rPr>
          <w:rFonts w:ascii="Arial" w:hAnsi="Arial" w:cs="Arial"/>
          <w:color w:val="000000"/>
        </w:rPr>
        <w:t xml:space="preserve">. </w:t>
      </w:r>
    </w:p>
    <w:p w:rsidR="00824FC5" w:rsidRDefault="00AC508C" w:rsidP="00AC508C">
      <w:pPr>
        <w:pStyle w:val="NormalWeb"/>
        <w:spacing w:before="240" w:beforeAutospacing="0" w:after="0" w:afterAutospacing="0" w:line="276" w:lineRule="auto"/>
        <w:jc w:val="both"/>
        <w:rPr>
          <w:rFonts w:ascii="Arial" w:hAnsi="Arial" w:cs="Arial"/>
          <w:b/>
          <w:bCs/>
          <w:color w:val="000000"/>
        </w:rPr>
      </w:pPr>
      <w:r>
        <w:rPr>
          <w:rFonts w:ascii="Arial" w:hAnsi="Arial" w:cs="Arial"/>
          <w:b/>
          <w:bCs/>
          <w:color w:val="000000"/>
        </w:rPr>
        <w:t>Testing</w:t>
      </w:r>
      <w:r w:rsidR="004C1AF5">
        <w:rPr>
          <w:rFonts w:ascii="Arial" w:hAnsi="Arial" w:cs="Arial"/>
          <w:b/>
          <w:bCs/>
          <w:color w:val="000000"/>
        </w:rPr>
        <w:t>:</w:t>
      </w:r>
      <w:r>
        <w:rPr>
          <w:rFonts w:ascii="Arial" w:hAnsi="Arial" w:cs="Arial"/>
          <w:b/>
          <w:bCs/>
          <w:color w:val="000000"/>
        </w:rPr>
        <w:t xml:space="preserve"> </w:t>
      </w:r>
    </w:p>
    <w:p w:rsidR="00AC508C" w:rsidRDefault="00AC508C" w:rsidP="00AC508C">
      <w:pPr>
        <w:pStyle w:val="NormalWeb"/>
        <w:spacing w:before="240" w:beforeAutospacing="0" w:after="0" w:afterAutospacing="0" w:line="276" w:lineRule="auto"/>
        <w:jc w:val="both"/>
      </w:pPr>
      <w:r>
        <w:rPr>
          <w:rFonts w:ascii="Arial" w:hAnsi="Arial" w:cs="Arial"/>
          <w:color w:val="000000"/>
        </w:rPr>
        <w:t xml:space="preserve">The Supplier shall at their own cost and expense, procure a CHECK or CREST Certified Supplier to perform an ITHC or Penetration Test prior to any live Authority/Buyer data being transferred into their systems.  The ITHC scope must be agreed with the Authority/Buyer to ensure it covers all the relevant parts of the system that processes, stores or hosts Authority/Buyer data. </w:t>
      </w:r>
    </w:p>
    <w:p w:rsidR="00824FC5" w:rsidRDefault="00AC508C" w:rsidP="00AC508C">
      <w:pPr>
        <w:pStyle w:val="NormalWeb"/>
        <w:spacing w:before="240" w:beforeAutospacing="0" w:after="0" w:afterAutospacing="0" w:line="276" w:lineRule="auto"/>
        <w:jc w:val="both"/>
        <w:rPr>
          <w:rFonts w:ascii="Arial" w:hAnsi="Arial" w:cs="Arial"/>
          <w:b/>
          <w:bCs/>
          <w:color w:val="000000"/>
        </w:rPr>
      </w:pPr>
      <w:r>
        <w:rPr>
          <w:rFonts w:ascii="Arial" w:hAnsi="Arial" w:cs="Arial"/>
          <w:b/>
          <w:bCs/>
          <w:color w:val="000000"/>
        </w:rPr>
        <w:t>Networking</w:t>
      </w:r>
      <w:r w:rsidR="004C1AF5">
        <w:rPr>
          <w:rFonts w:ascii="Arial" w:hAnsi="Arial" w:cs="Arial"/>
          <w:b/>
          <w:bCs/>
          <w:color w:val="000000"/>
        </w:rPr>
        <w:t>:</w:t>
      </w:r>
      <w:r>
        <w:rPr>
          <w:rFonts w:ascii="Arial" w:hAnsi="Arial" w:cs="Arial"/>
          <w:b/>
          <w:bCs/>
          <w:color w:val="000000"/>
        </w:rPr>
        <w:t xml:space="preserve"> </w:t>
      </w:r>
    </w:p>
    <w:p w:rsidR="00AC508C" w:rsidRDefault="00AC508C" w:rsidP="00AC508C">
      <w:pPr>
        <w:pStyle w:val="NormalWeb"/>
        <w:spacing w:before="240" w:beforeAutospacing="0" w:after="0" w:afterAutospacing="0" w:line="276" w:lineRule="auto"/>
        <w:jc w:val="both"/>
      </w:pPr>
      <w:r>
        <w:rPr>
          <w:rFonts w:ascii="Arial" w:hAnsi="Arial" w:cs="Arial"/>
          <w:color w:val="000000"/>
        </w:rPr>
        <w:t>The Supplier shall ensure that any Authority/Buyer Data which it causes to be transmitted over any public network (including the Internet, mobile networks or un-protected enterprise network) or to a mobile device shall be encrypted when transmitted.</w:t>
      </w:r>
    </w:p>
    <w:p w:rsidR="00824FC5" w:rsidRDefault="00AC508C" w:rsidP="00AC508C">
      <w:pPr>
        <w:pStyle w:val="NormalWeb"/>
        <w:spacing w:before="240" w:beforeAutospacing="0" w:after="0" w:afterAutospacing="0" w:line="276" w:lineRule="auto"/>
        <w:jc w:val="both"/>
        <w:rPr>
          <w:rFonts w:ascii="Arial" w:hAnsi="Arial" w:cs="Arial"/>
          <w:b/>
          <w:bCs/>
          <w:color w:val="000000"/>
        </w:rPr>
      </w:pPr>
      <w:r>
        <w:rPr>
          <w:rFonts w:ascii="Arial" w:hAnsi="Arial" w:cs="Arial"/>
          <w:b/>
          <w:bCs/>
          <w:color w:val="000000"/>
        </w:rPr>
        <w:t>Personnel Security</w:t>
      </w:r>
      <w:r w:rsidR="004C1AF5">
        <w:rPr>
          <w:rFonts w:ascii="Arial" w:hAnsi="Arial" w:cs="Arial"/>
          <w:b/>
          <w:bCs/>
          <w:color w:val="000000"/>
        </w:rPr>
        <w:t>:</w:t>
      </w:r>
      <w:r>
        <w:rPr>
          <w:rFonts w:ascii="Arial" w:hAnsi="Arial" w:cs="Arial"/>
          <w:b/>
          <w:bCs/>
          <w:color w:val="000000"/>
        </w:rPr>
        <w:t xml:space="preserve"> </w:t>
      </w:r>
    </w:p>
    <w:p w:rsidR="00AC508C" w:rsidRDefault="00AC508C" w:rsidP="00AC508C">
      <w:pPr>
        <w:pStyle w:val="NormalWeb"/>
        <w:spacing w:before="240" w:beforeAutospacing="0" w:after="0" w:afterAutospacing="0" w:line="276" w:lineRule="auto"/>
        <w:jc w:val="both"/>
      </w:pPr>
      <w:r>
        <w:rPr>
          <w:rFonts w:ascii="Arial" w:hAnsi="Arial" w:cs="Arial"/>
          <w:color w:val="000000"/>
        </w:rPr>
        <w:t>All Supplier Personnel shall be subject to a pre-employment check before they may participate in the provision and or management of the Services.  Such pre-employment checks must include all pre-employment checks which are required by the HMG Baseline Personnel Security Standard or equivalent including: verification of the individual's identity; verification of the individual's nationality and immigration status; and, verification of the individual's employment history; verification of the individual's criminal record. The Supplier maybe required to implement additional security vetting for some roles.</w:t>
      </w:r>
    </w:p>
    <w:p w:rsidR="004C1AF5" w:rsidRDefault="00AC508C" w:rsidP="00AC508C">
      <w:pPr>
        <w:pStyle w:val="NormalWeb"/>
        <w:spacing w:before="240" w:beforeAutospacing="0" w:after="0" w:afterAutospacing="0" w:line="276" w:lineRule="auto"/>
        <w:jc w:val="both"/>
        <w:rPr>
          <w:rFonts w:ascii="Arial" w:hAnsi="Arial" w:cs="Arial"/>
          <w:b/>
          <w:bCs/>
          <w:color w:val="000000"/>
        </w:rPr>
      </w:pPr>
      <w:r>
        <w:rPr>
          <w:rFonts w:ascii="Arial" w:hAnsi="Arial" w:cs="Arial"/>
          <w:b/>
          <w:bCs/>
          <w:color w:val="000000"/>
        </w:rPr>
        <w:t>Identity, Authentication and Access Control</w:t>
      </w:r>
      <w:r w:rsidR="002921E2">
        <w:rPr>
          <w:rFonts w:ascii="Arial" w:hAnsi="Arial" w:cs="Arial"/>
          <w:b/>
          <w:bCs/>
          <w:color w:val="000000"/>
        </w:rPr>
        <w:t>:</w:t>
      </w:r>
    </w:p>
    <w:p w:rsidR="00AC508C" w:rsidRDefault="00AC508C" w:rsidP="00AC508C">
      <w:pPr>
        <w:pStyle w:val="NormalWeb"/>
        <w:spacing w:before="240" w:beforeAutospacing="0" w:after="0" w:afterAutospacing="0" w:line="276" w:lineRule="auto"/>
        <w:jc w:val="both"/>
      </w:pPr>
      <w:r>
        <w:rPr>
          <w:rFonts w:ascii="Arial" w:hAnsi="Arial" w:cs="Arial"/>
          <w:color w:val="000000"/>
        </w:rPr>
        <w:t>The supplier must operate an appropriate access control regime to ensure that users and administrators of the service are uniquely identified. The supplier must retain records of access to the physical sites and to the service.</w:t>
      </w:r>
    </w:p>
    <w:p w:rsidR="004C1AF5" w:rsidRDefault="00AC508C" w:rsidP="00AC508C">
      <w:pPr>
        <w:pStyle w:val="NormalWeb"/>
        <w:spacing w:before="240" w:beforeAutospacing="0" w:after="0" w:afterAutospacing="0" w:line="276" w:lineRule="auto"/>
        <w:jc w:val="both"/>
        <w:rPr>
          <w:rFonts w:ascii="Arial" w:hAnsi="Arial" w:cs="Arial"/>
          <w:b/>
          <w:bCs/>
          <w:color w:val="000000"/>
        </w:rPr>
      </w:pPr>
      <w:r>
        <w:rPr>
          <w:rFonts w:ascii="Arial" w:hAnsi="Arial" w:cs="Arial"/>
          <w:b/>
          <w:bCs/>
          <w:color w:val="000000"/>
        </w:rPr>
        <w:t>Data Destruction/Deletion</w:t>
      </w:r>
      <w:r w:rsidR="002921E2">
        <w:rPr>
          <w:rFonts w:ascii="Arial" w:hAnsi="Arial" w:cs="Arial"/>
          <w:b/>
          <w:bCs/>
          <w:color w:val="000000"/>
        </w:rPr>
        <w:t>:</w:t>
      </w:r>
    </w:p>
    <w:p w:rsidR="00AC508C" w:rsidRDefault="00AC508C" w:rsidP="00AC508C">
      <w:pPr>
        <w:pStyle w:val="NormalWeb"/>
        <w:spacing w:before="240" w:beforeAutospacing="0" w:after="0" w:afterAutospacing="0" w:line="276" w:lineRule="auto"/>
        <w:jc w:val="both"/>
      </w:pPr>
      <w:r>
        <w:rPr>
          <w:rFonts w:ascii="Arial" w:hAnsi="Arial" w:cs="Arial"/>
          <w:color w:val="000000"/>
        </w:rPr>
        <w:t xml:space="preserve">The Supplier must be able to demonstrate they can supply a copy of all data on request or at termination of the </w:t>
      </w:r>
      <w:proofErr w:type="gramStart"/>
      <w:r>
        <w:rPr>
          <w:rFonts w:ascii="Arial" w:hAnsi="Arial" w:cs="Arial"/>
          <w:color w:val="000000"/>
        </w:rPr>
        <w:t>service, and</w:t>
      </w:r>
      <w:proofErr w:type="gramEnd"/>
      <w:r>
        <w:rPr>
          <w:rFonts w:ascii="Arial" w:hAnsi="Arial" w:cs="Arial"/>
          <w:color w:val="000000"/>
        </w:rPr>
        <w:t xml:space="preserve"> must be able to securely erase or destroy all data and media that the Authority/Buyer data has been stored and processed on. </w:t>
      </w:r>
    </w:p>
    <w:p w:rsidR="004C1AF5" w:rsidRDefault="00AC508C" w:rsidP="00AC508C">
      <w:pPr>
        <w:pStyle w:val="NormalWeb"/>
        <w:spacing w:before="240" w:beforeAutospacing="0" w:after="0" w:afterAutospacing="0" w:line="276" w:lineRule="auto"/>
        <w:jc w:val="both"/>
        <w:rPr>
          <w:rFonts w:ascii="Arial" w:hAnsi="Arial" w:cs="Arial"/>
          <w:b/>
          <w:bCs/>
          <w:color w:val="000000"/>
        </w:rPr>
      </w:pPr>
      <w:r>
        <w:rPr>
          <w:rFonts w:ascii="Arial" w:hAnsi="Arial" w:cs="Arial"/>
          <w:b/>
          <w:bCs/>
          <w:color w:val="000000"/>
        </w:rPr>
        <w:t>Audit and Protective Monitoring</w:t>
      </w:r>
      <w:r w:rsidR="002921E2">
        <w:rPr>
          <w:rFonts w:ascii="Arial" w:hAnsi="Arial" w:cs="Arial"/>
          <w:b/>
          <w:bCs/>
          <w:color w:val="000000"/>
        </w:rPr>
        <w:t>:</w:t>
      </w:r>
    </w:p>
    <w:p w:rsidR="00AC508C" w:rsidRDefault="00AC508C" w:rsidP="00AC508C">
      <w:pPr>
        <w:pStyle w:val="NormalWeb"/>
        <w:spacing w:before="240" w:beforeAutospacing="0" w:after="0" w:afterAutospacing="0" w:line="276" w:lineRule="auto"/>
        <w:jc w:val="both"/>
      </w:pPr>
      <w:r>
        <w:rPr>
          <w:rFonts w:ascii="Arial" w:hAnsi="Arial" w:cs="Arial"/>
          <w:color w:val="000000"/>
        </w:rPr>
        <w:t>The Supplier shall collect audit records which relate to security events in delivery of the service or that would support the analysis of potential and actual compromises. In order to facilitate effective monitoring and forensic readiness such Supplier audit records should (as a minimum) include regular reports and alerts setting out details of access by users of the service, to enable the identification of (without limitation) changing access trends, any unusual patterns of usage and/or accounts accessing higher than average amounts of Authority/Buyer Data. The retention periods for audit records and event logs must be agreed with the Authority/Buyer and documented.  </w:t>
      </w:r>
    </w:p>
    <w:p w:rsidR="00824FC5" w:rsidRDefault="00AC508C" w:rsidP="00AC508C">
      <w:pPr>
        <w:pStyle w:val="NormalWeb"/>
        <w:spacing w:before="240" w:beforeAutospacing="0" w:after="0" w:afterAutospacing="0" w:line="276" w:lineRule="auto"/>
        <w:jc w:val="both"/>
        <w:rPr>
          <w:rFonts w:ascii="Arial" w:hAnsi="Arial" w:cs="Arial"/>
          <w:b/>
          <w:bCs/>
          <w:color w:val="000000"/>
        </w:rPr>
      </w:pPr>
      <w:r>
        <w:rPr>
          <w:rFonts w:ascii="Arial" w:hAnsi="Arial" w:cs="Arial"/>
          <w:b/>
          <w:bCs/>
          <w:color w:val="000000"/>
        </w:rPr>
        <w:t>Location of Authority/Buyer Data</w:t>
      </w:r>
      <w:r w:rsidR="002921E2">
        <w:rPr>
          <w:rFonts w:ascii="Arial" w:hAnsi="Arial" w:cs="Arial"/>
          <w:b/>
          <w:bCs/>
          <w:color w:val="000000"/>
        </w:rPr>
        <w:t>:</w:t>
      </w:r>
    </w:p>
    <w:p w:rsidR="00AC508C" w:rsidRDefault="00AC508C" w:rsidP="00AC508C">
      <w:pPr>
        <w:pStyle w:val="NormalWeb"/>
        <w:spacing w:before="240" w:beforeAutospacing="0" w:after="0" w:afterAutospacing="0" w:line="276" w:lineRule="auto"/>
        <w:jc w:val="both"/>
      </w:pPr>
      <w:r>
        <w:rPr>
          <w:rFonts w:ascii="Arial" w:hAnsi="Arial" w:cs="Arial"/>
          <w:color w:val="000000"/>
        </w:rPr>
        <w:t>The Supplier shall not, and shall procure that none of its Sub-</w:t>
      </w:r>
      <w:r w:rsidR="00840021">
        <w:rPr>
          <w:rFonts w:ascii="Arial" w:hAnsi="Arial" w:cs="Arial"/>
          <w:color w:val="000000"/>
        </w:rPr>
        <w:t>Supplier</w:t>
      </w:r>
      <w:r>
        <w:rPr>
          <w:rFonts w:ascii="Arial" w:hAnsi="Arial" w:cs="Arial"/>
          <w:color w:val="000000"/>
        </w:rPr>
        <w:t>s, process Authority/Buyer Data outside the EEA without the prior written consent of the Authority/Buyer and the Supplier shall not change where it or any of its Sub-</w:t>
      </w:r>
      <w:r w:rsidR="00840021">
        <w:rPr>
          <w:rFonts w:ascii="Arial" w:hAnsi="Arial" w:cs="Arial"/>
          <w:color w:val="000000"/>
        </w:rPr>
        <w:t>Supplier</w:t>
      </w:r>
      <w:r>
        <w:rPr>
          <w:rFonts w:ascii="Arial" w:hAnsi="Arial" w:cs="Arial"/>
          <w:color w:val="000000"/>
        </w:rPr>
        <w:t>s process Authority/Buyer Data without the Authority/Buyer's prior written consent which may be subject to conditions.</w:t>
      </w:r>
    </w:p>
    <w:p w:rsidR="00824FC5" w:rsidRDefault="00AC508C" w:rsidP="00AC508C">
      <w:pPr>
        <w:pStyle w:val="NormalWeb"/>
        <w:spacing w:before="240" w:beforeAutospacing="0" w:after="0" w:afterAutospacing="0" w:line="276" w:lineRule="auto"/>
        <w:jc w:val="both"/>
        <w:rPr>
          <w:rFonts w:ascii="Arial" w:hAnsi="Arial" w:cs="Arial"/>
          <w:b/>
          <w:bCs/>
          <w:color w:val="000000"/>
        </w:rPr>
      </w:pPr>
      <w:r>
        <w:rPr>
          <w:rFonts w:ascii="Arial" w:hAnsi="Arial" w:cs="Arial"/>
          <w:b/>
          <w:bCs/>
          <w:color w:val="000000"/>
        </w:rPr>
        <w:t>Vulnerabilities and Corrective Action</w:t>
      </w:r>
      <w:r w:rsidR="002921E2">
        <w:rPr>
          <w:rFonts w:ascii="Arial" w:hAnsi="Arial" w:cs="Arial"/>
          <w:b/>
          <w:bCs/>
          <w:color w:val="000000"/>
        </w:rPr>
        <w:t>:</w:t>
      </w:r>
    </w:p>
    <w:p w:rsidR="00AC508C" w:rsidRDefault="00AC508C" w:rsidP="00AC508C">
      <w:pPr>
        <w:pStyle w:val="NormalWeb"/>
        <w:spacing w:before="240" w:beforeAutospacing="0" w:after="0" w:afterAutospacing="0" w:line="276" w:lineRule="auto"/>
        <w:jc w:val="both"/>
      </w:pPr>
      <w:r>
        <w:rPr>
          <w:rFonts w:ascii="Arial" w:hAnsi="Arial" w:cs="Arial"/>
          <w:color w:val="000000"/>
        </w:rPr>
        <w:t xml:space="preserve">Suppliers shall procure and implement security patches to vulnerabilities in accordance with the timescales specified in the NCSC Cloud Security Principle 5. </w:t>
      </w:r>
    </w:p>
    <w:p w:rsidR="00AC508C" w:rsidRDefault="00AC508C" w:rsidP="00AC508C">
      <w:pPr>
        <w:pStyle w:val="NormalWeb"/>
        <w:spacing w:before="0" w:beforeAutospacing="0" w:after="160" w:afterAutospacing="0" w:line="276" w:lineRule="auto"/>
        <w:jc w:val="both"/>
      </w:pPr>
      <w:r>
        <w:rPr>
          <w:rFonts w:ascii="Arial" w:hAnsi="Arial" w:cs="Arial"/>
          <w:color w:val="000000"/>
        </w:rPr>
        <w:t xml:space="preserve">Suppliers must ensure that all COTS Software and Third Party COTS Software  be kept up to date such that all Supplier COTS Software and Third Party COTS Software are always in mainstream support. </w:t>
      </w:r>
    </w:p>
    <w:p w:rsidR="00AC508C" w:rsidRDefault="00AC508C" w:rsidP="00AC508C">
      <w:pPr>
        <w:pStyle w:val="NormalWeb"/>
        <w:spacing w:before="240" w:beforeAutospacing="0" w:after="0" w:afterAutospacing="0" w:line="276" w:lineRule="auto"/>
        <w:jc w:val="both"/>
      </w:pPr>
      <w:r>
        <w:rPr>
          <w:rFonts w:ascii="Arial" w:hAnsi="Arial" w:cs="Arial"/>
          <w:b/>
          <w:bCs/>
          <w:color w:val="000000"/>
        </w:rPr>
        <w:t xml:space="preserve">Secure Architecture e.g. </w:t>
      </w:r>
      <w:r>
        <w:rPr>
          <w:rFonts w:ascii="Arial" w:hAnsi="Arial" w:cs="Arial"/>
          <w:color w:val="000000"/>
        </w:rPr>
        <w:t xml:space="preserve">Suppliers should design the service in accordance with: </w:t>
      </w:r>
    </w:p>
    <w:p w:rsidR="00AC508C" w:rsidRDefault="00AC508C" w:rsidP="00AC508C">
      <w:pPr>
        <w:pStyle w:val="NormalWeb"/>
        <w:numPr>
          <w:ilvl w:val="0"/>
          <w:numId w:val="19"/>
        </w:numPr>
        <w:spacing w:before="0" w:beforeAutospacing="0" w:after="0" w:afterAutospacing="0" w:line="276" w:lineRule="auto"/>
        <w:textAlignment w:val="baseline"/>
        <w:rPr>
          <w:rFonts w:ascii="Arial" w:hAnsi="Arial" w:cs="Arial"/>
          <w:color w:val="000000"/>
        </w:rPr>
      </w:pPr>
      <w:r>
        <w:rPr>
          <w:rFonts w:ascii="Arial" w:hAnsi="Arial" w:cs="Arial"/>
          <w:color w:val="000000"/>
        </w:rPr>
        <w:t>NCSC "</w:t>
      </w:r>
      <w:hyperlink r:id="rId9" w:history="1">
        <w:r>
          <w:rPr>
            <w:rStyle w:val="Hyperlink"/>
            <w:rFonts w:ascii="Arial" w:hAnsi="Arial" w:cs="Arial"/>
            <w:color w:val="1155CC"/>
          </w:rPr>
          <w:t>Security Design Principles for Digital Services</w:t>
        </w:r>
      </w:hyperlink>
      <w:r>
        <w:rPr>
          <w:rFonts w:ascii="Arial" w:hAnsi="Arial" w:cs="Arial"/>
          <w:color w:val="000000"/>
        </w:rPr>
        <w:t>"</w:t>
      </w:r>
    </w:p>
    <w:p w:rsidR="00AC508C" w:rsidRDefault="00AC508C" w:rsidP="00AC508C">
      <w:pPr>
        <w:pStyle w:val="NormalWeb"/>
        <w:numPr>
          <w:ilvl w:val="0"/>
          <w:numId w:val="19"/>
        </w:numPr>
        <w:spacing w:before="0" w:beforeAutospacing="0" w:after="0" w:afterAutospacing="0" w:line="276" w:lineRule="auto"/>
        <w:textAlignment w:val="baseline"/>
        <w:rPr>
          <w:rFonts w:ascii="Arial" w:hAnsi="Arial" w:cs="Arial"/>
          <w:color w:val="000000"/>
        </w:rPr>
      </w:pPr>
      <w:r>
        <w:rPr>
          <w:rFonts w:ascii="Arial" w:hAnsi="Arial" w:cs="Arial"/>
          <w:color w:val="000000"/>
        </w:rPr>
        <w:t>NCSC "</w:t>
      </w:r>
      <w:hyperlink r:id="rId10" w:history="1">
        <w:r>
          <w:rPr>
            <w:rStyle w:val="Hyperlink"/>
            <w:rFonts w:ascii="Arial" w:hAnsi="Arial" w:cs="Arial"/>
            <w:color w:val="1155CC"/>
          </w:rPr>
          <w:t>Bulk Data Principles</w:t>
        </w:r>
      </w:hyperlink>
      <w:r>
        <w:rPr>
          <w:rFonts w:ascii="Arial" w:hAnsi="Arial" w:cs="Arial"/>
          <w:color w:val="000000"/>
        </w:rPr>
        <w:t>"</w:t>
      </w:r>
    </w:p>
    <w:p w:rsidR="00AC508C" w:rsidRDefault="00AC508C" w:rsidP="00AC508C">
      <w:pPr>
        <w:pStyle w:val="NormalWeb"/>
        <w:numPr>
          <w:ilvl w:val="0"/>
          <w:numId w:val="19"/>
        </w:numPr>
        <w:spacing w:before="0" w:beforeAutospacing="0" w:after="0" w:afterAutospacing="0" w:line="276" w:lineRule="auto"/>
        <w:textAlignment w:val="baseline"/>
        <w:rPr>
          <w:rFonts w:ascii="Arial" w:hAnsi="Arial" w:cs="Arial"/>
          <w:color w:val="000000"/>
        </w:rPr>
      </w:pPr>
      <w:r>
        <w:rPr>
          <w:rFonts w:ascii="Arial" w:hAnsi="Arial" w:cs="Arial"/>
          <w:color w:val="000000"/>
        </w:rPr>
        <w:t>NSCS "</w:t>
      </w:r>
      <w:hyperlink r:id="rId11" w:history="1">
        <w:r>
          <w:rPr>
            <w:rStyle w:val="Hyperlink"/>
            <w:rFonts w:ascii="Arial" w:hAnsi="Arial" w:cs="Arial"/>
            <w:color w:val="1155CC"/>
          </w:rPr>
          <w:t>Cloud Security Principles</w:t>
        </w:r>
      </w:hyperlink>
      <w:r>
        <w:rPr>
          <w:rFonts w:ascii="Arial" w:hAnsi="Arial" w:cs="Arial"/>
          <w:color w:val="000000"/>
        </w:rPr>
        <w:t>"</w:t>
      </w:r>
    </w:p>
    <w:p w:rsidR="00AC508C" w:rsidRDefault="00AC508C" w:rsidP="00AC508C">
      <w:pPr>
        <w:spacing w:line="276" w:lineRule="auto"/>
      </w:pPr>
    </w:p>
    <w:p w:rsidR="003A493C" w:rsidRDefault="003A493C" w:rsidP="00AC508C">
      <w:pPr>
        <w:tabs>
          <w:tab w:val="left" w:pos="705"/>
        </w:tabs>
        <w:spacing w:line="276" w:lineRule="auto"/>
        <w:jc w:val="both"/>
        <w:rPr>
          <w:rFonts w:ascii="Arial" w:eastAsia="Arial" w:hAnsi="Arial" w:cs="Arial"/>
          <w:b/>
          <w:color w:val="00488C"/>
          <w:sz w:val="28"/>
          <w:szCs w:val="28"/>
        </w:rPr>
      </w:pPr>
    </w:p>
    <w:sectPr w:rsidR="003A493C">
      <w:headerReference w:type="default" r:id="rId12"/>
      <w:type w:val="continuous"/>
      <w:pgSz w:w="11906" w:h="16838"/>
      <w:pgMar w:top="1440" w:right="990" w:bottom="1440" w:left="990" w:header="36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Hazel Randall" w:date="2018-08-08T18:23:00Z" w:initials="HR">
    <w:p w:rsidR="004C1AF5" w:rsidRDefault="004C1AF5" w:rsidP="004C1AF5">
      <w:pPr>
        <w:pStyle w:val="CommentText"/>
      </w:pPr>
      <w:r>
        <w:rPr>
          <w:rStyle w:val="CommentReference"/>
        </w:rPr>
        <w:annotationRef/>
      </w:r>
      <w:r>
        <w:t>The technical security requirements set out below provide an indication of the types of security measures that might be considered, in order to protect Personal Data.  More, or less, measures may be appropriate depending on the subject matter of the contract, but the overall approach must be proportionate.  The technical requirements must also be compliant with legislative and regulatory obligations for content and data, such as GDPR.</w:t>
      </w:r>
    </w:p>
    <w:p w:rsidR="004C1AF5" w:rsidRDefault="004C1AF5" w:rsidP="004C1AF5">
      <w:pPr>
        <w:pStyle w:val="CommentText"/>
      </w:pPr>
      <w:r>
        <w:t xml:space="preserve">The example technical security requirements set out here are intended to supplement, not replace, security schedules that will detail the total contractual security obligations and requirements that the Processor (i.e. a supplier) will be held to account to deliver under contract.  Processors are also required to ensure sufficient ‘flow-down’ of legislative and regulatory obligations to any </w:t>
      </w:r>
      <w:proofErr w:type="gramStart"/>
      <w:r>
        <w:t>third party</w:t>
      </w:r>
      <w:proofErr w:type="gramEnd"/>
      <w:r>
        <w:t xml:space="preserve"> Sub-processors.</w:t>
      </w:r>
    </w:p>
  </w:comment>
</w:comment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0DDA" w:rsidRDefault="00840DDA">
      <w:pPr>
        <w:spacing w:after="0" w:line="240" w:lineRule="auto"/>
      </w:pPr>
      <w:r>
        <w:separator/>
      </w:r>
    </w:p>
  </w:endnote>
  <w:endnote w:type="continuationSeparator" w:id="0">
    <w:p w:rsidR="00840DDA" w:rsidRDefault="00840D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0DDA" w:rsidRDefault="00840DDA">
      <w:pPr>
        <w:spacing w:after="0" w:line="240" w:lineRule="auto"/>
      </w:pPr>
      <w:r>
        <w:separator/>
      </w:r>
    </w:p>
  </w:footnote>
  <w:footnote w:type="continuationSeparator" w:id="0">
    <w:p w:rsidR="00840DDA" w:rsidRDefault="00840D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493C" w:rsidRDefault="003A493C">
    <w:pPr>
      <w:tabs>
        <w:tab w:val="center" w:pos="4513"/>
        <w:tab w:val="right" w:pos="9026"/>
      </w:tabs>
      <w:spacing w:before="708" w:after="0" w:line="240" w:lineRule="auto"/>
      <w:rPr>
        <w:b/>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D2D91"/>
    <w:multiLevelType w:val="multilevel"/>
    <w:tmpl w:val="803E4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63C69BF"/>
    <w:multiLevelType w:val="multilevel"/>
    <w:tmpl w:val="39BC554C"/>
    <w:lvl w:ilvl="0">
      <w:start w:val="1"/>
      <w:numFmt w:val="decimal"/>
      <w:lvlText w:val="%1."/>
      <w:lvlJc w:val="left"/>
      <w:pPr>
        <w:ind w:left="720" w:hanging="720"/>
      </w:pPr>
      <w:rPr>
        <w:color w:val="000000"/>
      </w:rPr>
    </w:lvl>
    <w:lvl w:ilvl="1">
      <w:start w:val="1"/>
      <w:numFmt w:val="decimal"/>
      <w:lvlText w:val="%1.%2"/>
      <w:lvlJc w:val="left"/>
      <w:pPr>
        <w:ind w:left="720" w:hanging="720"/>
      </w:pPr>
      <w:rPr>
        <w:color w:val="000000"/>
      </w:rPr>
    </w:lvl>
    <w:lvl w:ilvl="2">
      <w:start w:val="1"/>
      <w:numFmt w:val="lowerLetter"/>
      <w:lvlText w:val="(%3)"/>
      <w:lvlJc w:val="left"/>
      <w:pPr>
        <w:ind w:left="1554" w:hanging="560"/>
      </w:pPr>
      <w:rPr>
        <w:color w:val="000000"/>
      </w:rPr>
    </w:lvl>
    <w:lvl w:ilvl="3">
      <w:start w:val="1"/>
      <w:numFmt w:val="lowerRoman"/>
      <w:lvlText w:val="(%4)"/>
      <w:lvlJc w:val="left"/>
      <w:pPr>
        <w:ind w:left="2275" w:hanging="576"/>
      </w:pPr>
      <w:rPr>
        <w:color w:val="000000"/>
        <w:sz w:val="20"/>
        <w:szCs w:val="20"/>
      </w:rPr>
    </w:lvl>
    <w:lvl w:ilvl="4">
      <w:start w:val="1"/>
      <w:numFmt w:val="upperLetter"/>
      <w:lvlText w:val="(%5)"/>
      <w:lvlJc w:val="left"/>
      <w:pPr>
        <w:ind w:left="2880" w:hanging="72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D731ADF"/>
    <w:multiLevelType w:val="multilevel"/>
    <w:tmpl w:val="3028CD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52A13F9"/>
    <w:multiLevelType w:val="multilevel"/>
    <w:tmpl w:val="BE0EA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5C7EFE"/>
    <w:multiLevelType w:val="multilevel"/>
    <w:tmpl w:val="75D8553E"/>
    <w:lvl w:ilvl="0">
      <w:start w:val="1"/>
      <w:numFmt w:val="decimal"/>
      <w:lvlText w:val="%1."/>
      <w:lvlJc w:val="left"/>
      <w:pPr>
        <w:ind w:left="720" w:hanging="720"/>
      </w:pPr>
      <w:rPr>
        <w:color w:val="000000"/>
      </w:rPr>
    </w:lvl>
    <w:lvl w:ilvl="1">
      <w:start w:val="1"/>
      <w:numFmt w:val="decimal"/>
      <w:lvlText w:val="%1.%2"/>
      <w:lvlJc w:val="left"/>
      <w:pPr>
        <w:ind w:left="720" w:hanging="720"/>
      </w:pPr>
      <w:rPr>
        <w:color w:val="000000"/>
      </w:rPr>
    </w:lvl>
    <w:lvl w:ilvl="2">
      <w:start w:val="1"/>
      <w:numFmt w:val="lowerLetter"/>
      <w:lvlText w:val="(%3)"/>
      <w:lvlJc w:val="left"/>
      <w:pPr>
        <w:ind w:left="1554" w:hanging="560"/>
      </w:pPr>
      <w:rPr>
        <w:color w:val="000000"/>
      </w:rPr>
    </w:lvl>
    <w:lvl w:ilvl="3">
      <w:start w:val="1"/>
      <w:numFmt w:val="lowerRoman"/>
      <w:lvlText w:val="(%4)"/>
      <w:lvlJc w:val="left"/>
      <w:pPr>
        <w:ind w:left="2275" w:hanging="576"/>
      </w:pPr>
      <w:rPr>
        <w:color w:val="000000"/>
        <w:sz w:val="20"/>
        <w:szCs w:val="20"/>
      </w:rPr>
    </w:lvl>
    <w:lvl w:ilvl="4">
      <w:start w:val="1"/>
      <w:numFmt w:val="upperLetter"/>
      <w:lvlText w:val="(%5)"/>
      <w:lvlJc w:val="left"/>
      <w:pPr>
        <w:ind w:left="2880" w:hanging="72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2415E30"/>
    <w:multiLevelType w:val="multilevel"/>
    <w:tmpl w:val="370A05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D5D76C2"/>
    <w:multiLevelType w:val="multilevel"/>
    <w:tmpl w:val="A61C104A"/>
    <w:lvl w:ilvl="0">
      <w:start w:val="1"/>
      <w:numFmt w:val="upp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355B2368"/>
    <w:multiLevelType w:val="multilevel"/>
    <w:tmpl w:val="03A2A6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5A9560A"/>
    <w:multiLevelType w:val="multilevel"/>
    <w:tmpl w:val="060E99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47BC3C3C"/>
    <w:multiLevelType w:val="multilevel"/>
    <w:tmpl w:val="22101E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4BC75426"/>
    <w:multiLevelType w:val="multilevel"/>
    <w:tmpl w:val="0D36311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4FEE23C5"/>
    <w:multiLevelType w:val="multilevel"/>
    <w:tmpl w:val="CCC410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599E5004"/>
    <w:multiLevelType w:val="hybridMultilevel"/>
    <w:tmpl w:val="9C48DFB2"/>
    <w:lvl w:ilvl="0" w:tplc="7820C02A">
      <w:start w:val="4"/>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DB10AD8"/>
    <w:multiLevelType w:val="multilevel"/>
    <w:tmpl w:val="6F8E1E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5F7C67EB"/>
    <w:multiLevelType w:val="multilevel"/>
    <w:tmpl w:val="FD484A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671C71CA"/>
    <w:multiLevelType w:val="multilevel"/>
    <w:tmpl w:val="456EE7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680D0DD1"/>
    <w:multiLevelType w:val="multilevel"/>
    <w:tmpl w:val="3F32EEBE"/>
    <w:styleLink w:val="Schedule"/>
    <w:lvl w:ilvl="0">
      <w:start w:val="1"/>
      <w:numFmt w:val="decimal"/>
      <w:pStyle w:val="MRSchedule1"/>
      <w:isLgl/>
      <w:suff w:val="nothing"/>
      <w:lvlText w:val="Schedule %1"/>
      <w:lvlJc w:val="left"/>
      <w:pPr>
        <w:ind w:left="0" w:firstLine="0"/>
      </w:pPr>
      <w:rPr>
        <w:rFonts w:cs="Times New Roman" w:hint="default"/>
        <w:b/>
        <w:i w:val="0"/>
        <w:u w:val="single"/>
      </w:rPr>
    </w:lvl>
    <w:lvl w:ilvl="1">
      <w:start w:val="1"/>
      <w:numFmt w:val="none"/>
      <w:pStyle w:val="MRSchedule2"/>
      <w:suff w:val="nothing"/>
      <w:lvlText w:val="%2"/>
      <w:lvlJc w:val="left"/>
      <w:pPr>
        <w:ind w:left="0" w:firstLine="0"/>
      </w:pPr>
      <w:rPr>
        <w:rFonts w:cs="Times New Roman" w:hint="default"/>
        <w:u w:val="single"/>
      </w:rPr>
    </w:lvl>
    <w:lvl w:ilvl="2">
      <w:start w:val="1"/>
      <w:numFmt w:val="none"/>
      <w:pStyle w:val="MRSchedule3"/>
      <w:suff w:val="nothing"/>
      <w:lvlText w:val="%3"/>
      <w:lvlJc w:val="left"/>
      <w:pPr>
        <w:ind w:left="0" w:firstLine="0"/>
      </w:pPr>
      <w:rPr>
        <w:rFonts w:cs="Times New Roman" w:hint="default"/>
      </w:rPr>
    </w:lvl>
    <w:lvl w:ilvl="3">
      <w:start w:val="1"/>
      <w:numFmt w:val="none"/>
      <w:lvlText w:val=""/>
      <w:lvlJc w:val="left"/>
      <w:pPr>
        <w:ind w:left="0" w:firstLine="0"/>
      </w:pPr>
      <w:rPr>
        <w:rFonts w:cs="Times New Roman" w:hint="default"/>
      </w:rPr>
    </w:lvl>
    <w:lvl w:ilvl="4">
      <w:start w:val="1"/>
      <w:numFmt w:val="none"/>
      <w:lvlText w:val=""/>
      <w:lvlJc w:val="left"/>
      <w:pPr>
        <w:ind w:left="0" w:firstLine="0"/>
      </w:pPr>
      <w:rPr>
        <w:rFonts w:cs="Times New Roman" w:hint="default"/>
      </w:rPr>
    </w:lvl>
    <w:lvl w:ilvl="5">
      <w:start w:val="1"/>
      <w:numFmt w:val="none"/>
      <w:lvlText w:val=""/>
      <w:lvlJc w:val="left"/>
      <w:pPr>
        <w:ind w:left="0" w:firstLine="0"/>
      </w:pPr>
      <w:rPr>
        <w:rFonts w:cs="Times New Roman" w:hint="default"/>
      </w:rPr>
    </w:lvl>
    <w:lvl w:ilvl="6">
      <w:start w:val="1"/>
      <w:numFmt w:val="none"/>
      <w:lvlText w:val="%7"/>
      <w:lvlJc w:val="left"/>
      <w:pPr>
        <w:ind w:left="0" w:firstLine="0"/>
      </w:pPr>
      <w:rPr>
        <w:rFonts w:cs="Times New Roman" w:hint="default"/>
      </w:rPr>
    </w:lvl>
    <w:lvl w:ilvl="7">
      <w:start w:val="1"/>
      <w:numFmt w:val="none"/>
      <w:lvlText w:val="%8"/>
      <w:lvlJc w:val="left"/>
      <w:pPr>
        <w:ind w:left="0" w:firstLine="0"/>
      </w:pPr>
      <w:rPr>
        <w:rFonts w:cs="Times New Roman" w:hint="default"/>
      </w:rPr>
    </w:lvl>
    <w:lvl w:ilvl="8">
      <w:start w:val="1"/>
      <w:numFmt w:val="none"/>
      <w:lvlText w:val="%9"/>
      <w:lvlJc w:val="left"/>
      <w:pPr>
        <w:ind w:left="0" w:firstLine="0"/>
      </w:pPr>
      <w:rPr>
        <w:rFonts w:cs="Times New Roman" w:hint="default"/>
      </w:rPr>
    </w:lvl>
  </w:abstractNum>
  <w:abstractNum w:abstractNumId="18" w15:restartNumberingAfterBreak="0">
    <w:nsid w:val="6EEF13CD"/>
    <w:multiLevelType w:val="multilevel"/>
    <w:tmpl w:val="8C400130"/>
    <w:lvl w:ilvl="0">
      <w:start w:val="1"/>
      <w:numFmt w:val="bullet"/>
      <w:lvlText w:val="●"/>
      <w:lvlJc w:val="left"/>
      <w:pPr>
        <w:ind w:left="1214" w:hanging="360"/>
      </w:pPr>
      <w:rPr>
        <w:rFonts w:ascii="Noto Sans Symbols" w:eastAsia="Noto Sans Symbols" w:hAnsi="Noto Sans Symbols" w:cs="Noto Sans Symbols"/>
      </w:rPr>
    </w:lvl>
    <w:lvl w:ilvl="1">
      <w:start w:val="1"/>
      <w:numFmt w:val="bullet"/>
      <w:lvlText w:val="o"/>
      <w:lvlJc w:val="left"/>
      <w:pPr>
        <w:ind w:left="1934" w:hanging="360"/>
      </w:pPr>
      <w:rPr>
        <w:rFonts w:ascii="Courier New" w:eastAsia="Courier New" w:hAnsi="Courier New" w:cs="Courier New"/>
      </w:rPr>
    </w:lvl>
    <w:lvl w:ilvl="2">
      <w:start w:val="1"/>
      <w:numFmt w:val="bullet"/>
      <w:lvlText w:val="▪"/>
      <w:lvlJc w:val="left"/>
      <w:pPr>
        <w:ind w:left="2654" w:hanging="360"/>
      </w:pPr>
      <w:rPr>
        <w:rFonts w:ascii="Noto Sans Symbols" w:eastAsia="Noto Sans Symbols" w:hAnsi="Noto Sans Symbols" w:cs="Noto Sans Symbols"/>
      </w:rPr>
    </w:lvl>
    <w:lvl w:ilvl="3">
      <w:start w:val="1"/>
      <w:numFmt w:val="bullet"/>
      <w:lvlText w:val="●"/>
      <w:lvlJc w:val="left"/>
      <w:pPr>
        <w:ind w:left="3374" w:hanging="360"/>
      </w:pPr>
      <w:rPr>
        <w:rFonts w:ascii="Noto Sans Symbols" w:eastAsia="Noto Sans Symbols" w:hAnsi="Noto Sans Symbols" w:cs="Noto Sans Symbols"/>
      </w:rPr>
    </w:lvl>
    <w:lvl w:ilvl="4">
      <w:start w:val="1"/>
      <w:numFmt w:val="bullet"/>
      <w:lvlText w:val="o"/>
      <w:lvlJc w:val="left"/>
      <w:pPr>
        <w:ind w:left="4094" w:hanging="360"/>
      </w:pPr>
      <w:rPr>
        <w:rFonts w:ascii="Courier New" w:eastAsia="Courier New" w:hAnsi="Courier New" w:cs="Courier New"/>
      </w:rPr>
    </w:lvl>
    <w:lvl w:ilvl="5">
      <w:start w:val="1"/>
      <w:numFmt w:val="bullet"/>
      <w:lvlText w:val="▪"/>
      <w:lvlJc w:val="left"/>
      <w:pPr>
        <w:ind w:left="4814" w:hanging="360"/>
      </w:pPr>
      <w:rPr>
        <w:rFonts w:ascii="Noto Sans Symbols" w:eastAsia="Noto Sans Symbols" w:hAnsi="Noto Sans Symbols" w:cs="Noto Sans Symbols"/>
      </w:rPr>
    </w:lvl>
    <w:lvl w:ilvl="6">
      <w:start w:val="1"/>
      <w:numFmt w:val="bullet"/>
      <w:lvlText w:val="●"/>
      <w:lvlJc w:val="left"/>
      <w:pPr>
        <w:ind w:left="5534" w:hanging="360"/>
      </w:pPr>
      <w:rPr>
        <w:rFonts w:ascii="Noto Sans Symbols" w:eastAsia="Noto Sans Symbols" w:hAnsi="Noto Sans Symbols" w:cs="Noto Sans Symbols"/>
      </w:rPr>
    </w:lvl>
    <w:lvl w:ilvl="7">
      <w:start w:val="1"/>
      <w:numFmt w:val="bullet"/>
      <w:lvlText w:val="o"/>
      <w:lvlJc w:val="left"/>
      <w:pPr>
        <w:ind w:left="6254" w:hanging="360"/>
      </w:pPr>
      <w:rPr>
        <w:rFonts w:ascii="Courier New" w:eastAsia="Courier New" w:hAnsi="Courier New" w:cs="Courier New"/>
      </w:rPr>
    </w:lvl>
    <w:lvl w:ilvl="8">
      <w:start w:val="1"/>
      <w:numFmt w:val="bullet"/>
      <w:lvlText w:val="▪"/>
      <w:lvlJc w:val="left"/>
      <w:pPr>
        <w:ind w:left="6974" w:hanging="360"/>
      </w:pPr>
      <w:rPr>
        <w:rFonts w:ascii="Noto Sans Symbols" w:eastAsia="Noto Sans Symbols" w:hAnsi="Noto Sans Symbols" w:cs="Noto Sans Symbols"/>
      </w:rPr>
    </w:lvl>
  </w:abstractNum>
  <w:abstractNum w:abstractNumId="19" w15:restartNumberingAfterBreak="0">
    <w:nsid w:val="78250295"/>
    <w:multiLevelType w:val="multilevel"/>
    <w:tmpl w:val="9F4A61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7FFE7635"/>
    <w:multiLevelType w:val="multilevel"/>
    <w:tmpl w:val="211EE9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3"/>
  </w:num>
  <w:num w:numId="2">
    <w:abstractNumId w:val="16"/>
  </w:num>
  <w:num w:numId="3">
    <w:abstractNumId w:val="15"/>
  </w:num>
  <w:num w:numId="4">
    <w:abstractNumId w:val="6"/>
  </w:num>
  <w:num w:numId="5">
    <w:abstractNumId w:val="12"/>
  </w:num>
  <w:num w:numId="6">
    <w:abstractNumId w:val="7"/>
  </w:num>
  <w:num w:numId="7">
    <w:abstractNumId w:val="8"/>
  </w:num>
  <w:num w:numId="8">
    <w:abstractNumId w:val="5"/>
  </w:num>
  <w:num w:numId="9">
    <w:abstractNumId w:val="11"/>
  </w:num>
  <w:num w:numId="10">
    <w:abstractNumId w:val="10"/>
  </w:num>
  <w:num w:numId="11">
    <w:abstractNumId w:val="20"/>
  </w:num>
  <w:num w:numId="12">
    <w:abstractNumId w:val="2"/>
  </w:num>
  <w:num w:numId="13">
    <w:abstractNumId w:val="14"/>
  </w:num>
  <w:num w:numId="14">
    <w:abstractNumId w:val="19"/>
  </w:num>
  <w:num w:numId="15">
    <w:abstractNumId w:val="18"/>
  </w:num>
  <w:num w:numId="16">
    <w:abstractNumId w:val="1"/>
  </w:num>
  <w:num w:numId="17">
    <w:abstractNumId w:val="9"/>
  </w:num>
  <w:num w:numId="18">
    <w:abstractNumId w:val="0"/>
  </w:num>
  <w:num w:numId="19">
    <w:abstractNumId w:val="4"/>
  </w:num>
  <w:num w:numId="20">
    <w:abstractNumId w:val="17"/>
  </w:num>
  <w:num w:numId="2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zel Randall">
    <w15:presenceInfo w15:providerId="AD" w15:userId="S-1-5-21-3923564064-2822557742-2356397232-169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493C"/>
    <w:rsid w:val="00032F8B"/>
    <w:rsid w:val="00165F34"/>
    <w:rsid w:val="001705ED"/>
    <w:rsid w:val="001A7BD9"/>
    <w:rsid w:val="001C1C30"/>
    <w:rsid w:val="002921E2"/>
    <w:rsid w:val="003A175C"/>
    <w:rsid w:val="003A493C"/>
    <w:rsid w:val="004C0D30"/>
    <w:rsid w:val="004C1AF5"/>
    <w:rsid w:val="005015C7"/>
    <w:rsid w:val="00515090"/>
    <w:rsid w:val="00525A45"/>
    <w:rsid w:val="005D553E"/>
    <w:rsid w:val="0067039F"/>
    <w:rsid w:val="00705FC7"/>
    <w:rsid w:val="007B2404"/>
    <w:rsid w:val="00824FC5"/>
    <w:rsid w:val="00835E36"/>
    <w:rsid w:val="00840021"/>
    <w:rsid w:val="00840DDA"/>
    <w:rsid w:val="008927AB"/>
    <w:rsid w:val="00AC508C"/>
    <w:rsid w:val="00BD2EF7"/>
    <w:rsid w:val="00C13666"/>
    <w:rsid w:val="00C7169F"/>
    <w:rsid w:val="00C97411"/>
    <w:rsid w:val="00D548A5"/>
    <w:rsid w:val="00DF1492"/>
    <w:rsid w:val="00F478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B82586"/>
  <w15:docId w15:val="{F78AC9BF-C06D-4482-B658-901128469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AC508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AC508C"/>
  </w:style>
  <w:style w:type="character" w:styleId="Hyperlink">
    <w:name w:val="Hyperlink"/>
    <w:basedOn w:val="DefaultParagraphFont"/>
    <w:uiPriority w:val="99"/>
    <w:semiHidden/>
    <w:unhideWhenUsed/>
    <w:rsid w:val="00AC508C"/>
    <w:rPr>
      <w:color w:val="0000FF"/>
      <w:u w:val="single"/>
    </w:rPr>
  </w:style>
  <w:style w:type="table" w:styleId="TableGrid">
    <w:name w:val="Table Grid"/>
    <w:basedOn w:val="TableNormal"/>
    <w:uiPriority w:val="39"/>
    <w:rsid w:val="008400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40021"/>
    <w:rPr>
      <w:sz w:val="16"/>
      <w:szCs w:val="16"/>
    </w:rPr>
  </w:style>
  <w:style w:type="paragraph" w:styleId="CommentText">
    <w:name w:val="annotation text"/>
    <w:basedOn w:val="Normal"/>
    <w:link w:val="CommentTextChar"/>
    <w:uiPriority w:val="99"/>
    <w:semiHidden/>
    <w:unhideWhenUsed/>
    <w:rsid w:val="00840021"/>
    <w:pPr>
      <w:spacing w:line="240" w:lineRule="auto"/>
    </w:pPr>
    <w:rPr>
      <w:sz w:val="20"/>
      <w:szCs w:val="20"/>
    </w:rPr>
  </w:style>
  <w:style w:type="character" w:customStyle="1" w:styleId="CommentTextChar">
    <w:name w:val="Comment Text Char"/>
    <w:basedOn w:val="DefaultParagraphFont"/>
    <w:link w:val="CommentText"/>
    <w:uiPriority w:val="99"/>
    <w:semiHidden/>
    <w:rsid w:val="00840021"/>
    <w:rPr>
      <w:sz w:val="20"/>
      <w:szCs w:val="20"/>
    </w:rPr>
  </w:style>
  <w:style w:type="paragraph" w:styleId="CommentSubject">
    <w:name w:val="annotation subject"/>
    <w:basedOn w:val="CommentText"/>
    <w:next w:val="CommentText"/>
    <w:link w:val="CommentSubjectChar"/>
    <w:uiPriority w:val="99"/>
    <w:semiHidden/>
    <w:unhideWhenUsed/>
    <w:rsid w:val="00840021"/>
    <w:rPr>
      <w:b/>
      <w:bCs/>
    </w:rPr>
  </w:style>
  <w:style w:type="character" w:customStyle="1" w:styleId="CommentSubjectChar">
    <w:name w:val="Comment Subject Char"/>
    <w:basedOn w:val="CommentTextChar"/>
    <w:link w:val="CommentSubject"/>
    <w:uiPriority w:val="99"/>
    <w:semiHidden/>
    <w:rsid w:val="00840021"/>
    <w:rPr>
      <w:b/>
      <w:bCs/>
      <w:sz w:val="20"/>
      <w:szCs w:val="20"/>
    </w:rPr>
  </w:style>
  <w:style w:type="paragraph" w:styleId="BalloonText">
    <w:name w:val="Balloon Text"/>
    <w:basedOn w:val="Normal"/>
    <w:link w:val="BalloonTextChar"/>
    <w:uiPriority w:val="99"/>
    <w:semiHidden/>
    <w:unhideWhenUsed/>
    <w:rsid w:val="008400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0021"/>
    <w:rPr>
      <w:rFonts w:ascii="Segoe UI" w:hAnsi="Segoe UI" w:cs="Segoe UI"/>
      <w:sz w:val="18"/>
      <w:szCs w:val="18"/>
    </w:rPr>
  </w:style>
  <w:style w:type="paragraph" w:customStyle="1" w:styleId="MRSchedule1">
    <w:name w:val="M&amp;R Schedule 1"/>
    <w:aliases w:val="M&amp;Rsch1"/>
    <w:basedOn w:val="Normal"/>
    <w:next w:val="Normal"/>
    <w:uiPriority w:val="29"/>
    <w:qFormat/>
    <w:rsid w:val="00525A45"/>
    <w:pPr>
      <w:keepNext/>
      <w:keepLines/>
      <w:pageBreakBefore/>
      <w:numPr>
        <w:numId w:val="20"/>
      </w:numPr>
      <w:spacing w:before="240" w:after="0" w:line="360" w:lineRule="auto"/>
      <w:jc w:val="center"/>
      <w:outlineLvl w:val="0"/>
    </w:pPr>
    <w:rPr>
      <w:rFonts w:ascii="Arial" w:hAnsi="Arial" w:cs="Times New Roman"/>
      <w:b/>
      <w:u w:val="single"/>
    </w:rPr>
  </w:style>
  <w:style w:type="paragraph" w:customStyle="1" w:styleId="MRSchedule2">
    <w:name w:val="M&amp;R Schedule 2"/>
    <w:aliases w:val="M&amp;Rsch2"/>
    <w:basedOn w:val="Normal"/>
    <w:uiPriority w:val="29"/>
    <w:qFormat/>
    <w:rsid w:val="00525A45"/>
    <w:pPr>
      <w:keepNext/>
      <w:keepLines/>
      <w:numPr>
        <w:ilvl w:val="1"/>
        <w:numId w:val="20"/>
      </w:numPr>
      <w:spacing w:before="240" w:after="0" w:line="360" w:lineRule="auto"/>
      <w:jc w:val="center"/>
      <w:outlineLvl w:val="1"/>
    </w:pPr>
    <w:rPr>
      <w:rFonts w:ascii="Arial" w:hAnsi="Arial" w:cs="Times New Roman"/>
      <w:u w:val="single"/>
    </w:rPr>
  </w:style>
  <w:style w:type="paragraph" w:customStyle="1" w:styleId="MRSchedule3">
    <w:name w:val="M&amp;R Schedule 3"/>
    <w:aliases w:val="M&amp;Rsch3"/>
    <w:basedOn w:val="Normal"/>
    <w:next w:val="Normal"/>
    <w:uiPriority w:val="29"/>
    <w:qFormat/>
    <w:rsid w:val="00525A45"/>
    <w:pPr>
      <w:keepNext/>
      <w:keepLines/>
      <w:numPr>
        <w:ilvl w:val="2"/>
        <w:numId w:val="20"/>
      </w:numPr>
      <w:spacing w:before="240" w:after="0" w:line="360" w:lineRule="auto"/>
      <w:jc w:val="center"/>
      <w:outlineLvl w:val="2"/>
    </w:pPr>
    <w:rPr>
      <w:rFonts w:ascii="Arial" w:hAnsi="Arial" w:cs="Times New Roman"/>
      <w:u w:val="single"/>
    </w:rPr>
  </w:style>
  <w:style w:type="numbering" w:customStyle="1" w:styleId="Schedule">
    <w:name w:val="Schedule"/>
    <w:rsid w:val="00525A45"/>
    <w:pPr>
      <w:numPr>
        <w:numId w:val="20"/>
      </w:numPr>
    </w:pPr>
  </w:style>
  <w:style w:type="paragraph" w:styleId="ListParagraph">
    <w:name w:val="List Paragraph"/>
    <w:basedOn w:val="Normal"/>
    <w:uiPriority w:val="34"/>
    <w:qFormat/>
    <w:rsid w:val="00525A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ncsc.gov.uk/guidance/end-user-device-security"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ncsc.gov.uk/guidance/implementing-cloud-security-principles"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ncsc.gov.uk/guidance/protecting-bulk-personal-data-main" TargetMode="External"/><Relationship Id="rId4" Type="http://schemas.openxmlformats.org/officeDocument/2006/relationships/webSettings" Target="webSettings.xml"/><Relationship Id="rId9" Type="http://schemas.openxmlformats.org/officeDocument/2006/relationships/hyperlink" Target="https://www.ncsc.gov.uk/guidance/security-design-principles-digital-services-main"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807</Words>
  <Characters>4601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5398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 Jones</dc:creator>
  <cp:lastModifiedBy>Simon Burke</cp:lastModifiedBy>
  <cp:revision>1</cp:revision>
  <dcterms:created xsi:type="dcterms:W3CDTF">2019-03-08T14:22:00Z</dcterms:created>
  <dcterms:modified xsi:type="dcterms:W3CDTF">2019-03-08T14:22:00Z</dcterms:modified>
</cp:coreProperties>
</file>